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Volume X — Governance-Substrate Integration</w:t>
      </w:r>
    </w:p>
    <w:p>
      <w:pPr>
        <w:pStyle w:val="Subtitle"/>
      </w:pPr>
      <w:r>
        <w:t xml:space="preserve">Federal Compliance Series</w:t>
      </w:r>
    </w:p>
    <w:sdt>
      <w:sdtPr>
        <w:docPartObj>
          <w:docPartGallery w:val="Table of Contents"/>
          <w:docPartUnique/>
        </w:docPartObj>
      </w:sdtPr>
      <w:sdtContent>
        <w:p>
          <w:pPr>
            <w:pStyle w:val="TOCHeading"/>
          </w:pPr>
          <w:r>
            <w:t xml:space="preserve">Table of Contents</w:t>
          </w:r>
        </w:p>
        <w:p>
          <w:r>
            <w:fldChar w:fldCharType="begin" w:dirty="true"/>
            <w:instrText xml:space="preserve">TOC \o "1-2" \h \z \u</w:instrText>
            <w:fldChar w:fldCharType="separate"/>
            <w:fldChar w:fldCharType="end"/>
          </w:r>
        </w:p>
      </w:sdtContent>
    </w:sdt>
    <w:bookmarkStart w:id="9" w:name="draft-proposal-subject-to-review"/>
    <w:p>
      <w:pPr>
        <w:pStyle w:val="Heading2"/>
      </w:pPr>
      <w:r>
        <w:t xml:space="preserve">Draft Proposal — Subject to Review</w:t>
      </w:r>
    </w:p>
    <w:p>
      <w:pPr>
        <w:pStyle w:val="FirstParagraph"/>
      </w:pPr>
      <w:r>
        <w:t xml:space="preserve">This document is a</w:t>
      </w:r>
      <w:r>
        <w:t xml:space="preserve"> </w:t>
      </w:r>
      <w:r>
        <w:rPr>
          <w:b/>
          <w:bCs/>
        </w:rPr>
        <w:t xml:space="preserve">draft proposal</w:t>
      </w:r>
      <w:r>
        <w:t xml:space="preserve"> </w:t>
      </w:r>
      <w:r>
        <w:t xml:space="preserve">developed by the</w:t>
      </w:r>
      <w:r>
        <w:t xml:space="preserve"> </w:t>
      </w:r>
      <w:r>
        <w:rPr>
          <w:b/>
          <w:bCs/>
        </w:rPr>
        <w:t xml:space="preserve">CSI Team (Cloud Services Infrastructure)</w:t>
      </w:r>
      <w:r>
        <w:t xml:space="preserve">. It has not been reviewed or approved by the Agency CIO Office, the Office of Information Security (OIS), or organizational leadership. All recommendations, vendor selections, control mappings, and workflow designs are subject to revision pending formal review.</w:t>
      </w:r>
    </w:p>
    <w:p>
      <w:pPr>
        <w:pStyle w:val="BodyText"/>
      </w:pPr>
      <w:r>
        <w:rPr>
          <w:b/>
          <w:bCs/>
        </w:rPr>
        <w:t xml:space="preserve">Date Code:</w:t>
      </w:r>
      <w:r>
        <w:t xml:space="preserve"> </w:t>
      </w:r>
      <w:r>
        <w:t xml:space="preserve">2026-07-19 16:20 ET</w:t>
      </w:r>
    </w:p>
    <w:bookmarkEnd w:id="9"/>
    <w:p>
      <w:pPr>
        <w:pStyle w:val="BodyText"/>
      </w:pPr>
      <w:r>
        <w:rPr>
          <w:b/>
          <w:bCs/>
        </w:rPr>
        <w:t xml:space="preserve">Series Context</w:t>
      </w:r>
      <w:r>
        <w:t xml:space="preserve"> </w:t>
      </w:r>
      <w:r>
        <w:t xml:space="preserve">— This is the Volume X overview of the Federal Compliance series. Volumes I–IV establish the architecture — the network and transport plane, the data platform, security operations, and governance and assurance — as</w:t>
      </w:r>
      <w:r>
        <w:t xml:space="preserve"> </w:t>
      </w:r>
      <w:r>
        <w:rPr>
          <w:i/>
          <w:iCs/>
        </w:rPr>
        <w:t xml:space="preserve">what must be true and why</w:t>
      </w:r>
      <w:r>
        <w:t xml:space="preserve">. Volume V addresses training; Volume VI carries the deployable artifacts; Volumes VII–IX carry the coordination, multi-cloud DDI, and day-2 operations layers.</w:t>
      </w:r>
      <w:r>
        <w:t xml:space="preserve"> </w:t>
      </w:r>
      <w:r>
        <w:rPr>
          <w:b/>
          <w:bCs/>
        </w:rPr>
        <w:t xml:space="preserve">Volume X is the integration layer: it explains how everything the earlier volumes produce becomes machine-checked evidence on the governance substrate — the vertical-agnostic engine that maps this series’ artifacts to a fixed set of control-plane surface slots, scores them as Key Security Indicators, and gates them against drift.</w:t>
      </w:r>
      <w:r>
        <w:t xml:space="preserve"> </w:t>
      </w:r>
      <w:r>
        <w:t xml:space="preserve">Where an architecture book says a control is closed, this volume shows where that closure lands on the substrate and how it stays honest.</w:t>
      </w:r>
    </w:p>
    <w:bookmarkStart w:id="10" w:name="what-this-volume-addresses"/>
    <w:p>
      <w:pPr>
        <w:pStyle w:val="Heading1"/>
      </w:pPr>
      <w:r>
        <w:t xml:space="preserve">What This Volume Addresses</w:t>
      </w:r>
    </w:p>
    <w:p>
      <w:pPr>
        <w:pStyle w:val="FirstParagraph"/>
      </w:pPr>
      <w:r>
        <w:t xml:space="preserve">The earlier volumes answer</w:t>
      </w:r>
      <w:r>
        <w:t xml:space="preserve"> </w:t>
      </w:r>
      <w:r>
        <w:rPr>
          <w:i/>
          <w:iCs/>
        </w:rPr>
        <w:t xml:space="preserve">what</w:t>
      </w:r>
      <w:r>
        <w:t xml:space="preserve">,</w:t>
      </w:r>
      <w:r>
        <w:t xml:space="preserve"> </w:t>
      </w:r>
      <w:r>
        <w:rPr>
          <w:i/>
          <w:iCs/>
        </w:rPr>
        <w:t xml:space="preserve">why</w:t>
      </w:r>
      <w:r>
        <w:t xml:space="preserve">, and</w:t>
      </w:r>
      <w:r>
        <w:t xml:space="preserve"> </w:t>
      </w:r>
      <w:r>
        <w:rPr>
          <w:i/>
          <w:iCs/>
        </w:rPr>
        <w:t xml:space="preserve">how</w:t>
      </w:r>
      <w:r>
        <w:t xml:space="preserve">: which controls a mechanism closes, why no alternate mechanism closes them, and the artifacts that stand the mechanism up. They deliberately stop at the edge of a specific governance product, because a series entangled with one engine’s wiring ages badly and reads as advocacy rather than architecture.</w:t>
      </w:r>
    </w:p>
    <w:p>
      <w:pPr>
        <w:pStyle w:val="BodyText"/>
      </w:pPr>
      <w:r>
        <w:t xml:space="preserve">This volume answers a different question:</w:t>
      </w:r>
      <w:r>
        <w:t xml:space="preserve"> </w:t>
      </w:r>
      <w:r>
        <w:rPr>
          <w:b/>
          <w:bCs/>
        </w:rPr>
        <w:t xml:space="preserve">once the series has produced its closures and evidence, where does that evidence</w:t>
      </w:r>
      <w:r>
        <w:rPr>
          <w:b/>
          <w:bCs/>
        </w:rPr>
        <w:t xml:space="preserve"> </w:t>
      </w:r>
      <w:r>
        <w:rPr>
          <w:b/>
          <w:bCs/>
          <w:i/>
          <w:iCs/>
        </w:rPr>
        <w:t xml:space="preserve">go</w:t>
      </w:r>
      <w:r>
        <w:rPr>
          <w:b/>
          <w:bCs/>
        </w:rPr>
        <w:t xml:space="preserve">, and what keeps it trustworthy over time?</w:t>
      </w:r>
      <w:r>
        <w:t xml:space="preserve"> </w:t>
      </w:r>
      <w:r>
        <w:t xml:space="preserve">The answer is a governance substrate that sits underneath the whole series — a general-purpose engine that is not itself federal, not itself tied to this series, and not itself a compliance regime. The Federal Compliance corpus is one body of content that rides on top of it. This overview documents that binding: the conformance layer that maps series artifacts to the substrate’s surface slots, the single source of truth that makes the mapping auditable, the drift gates that keep the prose honest, and the positioning consequence — that the same substrate carries non-federal regimes just as readily as it carries this one.</w:t>
      </w:r>
    </w:p>
    <w:p>
      <w:pPr>
        <w:pStyle w:val="BodyText"/>
      </w:pPr>
      <w:r>
        <w:rPr>
          <w:b/>
          <w:bCs/>
        </w:rPr>
        <w:t xml:space="preserve">A note on naming.</w:t>
      </w:r>
      <w:r>
        <w:t xml:space="preserve"> </w:t>
      </w:r>
      <w:r>
        <w:t xml:space="preserve">In keeping with the series’ engine-neutrality discipline, this volume names no governance product. It speaks of</w:t>
      </w:r>
      <w:r>
        <w:t xml:space="preserve"> </w:t>
      </w:r>
      <w:r>
        <w:rPr>
          <w:i/>
          <w:iCs/>
        </w:rPr>
        <w:t xml:space="preserve">the governance substrate</w:t>
      </w:r>
      <w:r>
        <w:t xml:space="preserve">,</w:t>
      </w:r>
      <w:r>
        <w:t xml:space="preserve"> </w:t>
      </w:r>
      <w:r>
        <w:rPr>
          <w:i/>
          <w:iCs/>
        </w:rPr>
        <w:t xml:space="preserve">the conformance layer</w:t>
      </w:r>
      <w:r>
        <w:t xml:space="preserve">,</w:t>
      </w:r>
      <w:r>
        <w:t xml:space="preserve"> </w:t>
      </w:r>
      <w:r>
        <w:rPr>
          <w:i/>
          <w:iCs/>
        </w:rPr>
        <w:t xml:space="preserve">the surface slots</w:t>
      </w:r>
      <w:r>
        <w:t xml:space="preserve">, and</w:t>
      </w:r>
      <w:r>
        <w:t xml:space="preserve"> </w:t>
      </w:r>
      <w:r>
        <w:rPr>
          <w:i/>
          <w:iCs/>
        </w:rPr>
        <w:t xml:space="preserve">the evidence contract</w:t>
      </w:r>
      <w:r>
        <w:t xml:space="preserve"> </w:t>
      </w:r>
      <w:r>
        <w:t xml:space="preserve">— the functions, not a brand. The mechanism, not the product, is the load-bearing claim, exactly as in the architecture volumes.</w:t>
      </w:r>
    </w:p>
    <w:bookmarkEnd w:id="10"/>
    <w:bookmarkStart w:id="11" w:name="the-substrate-premise"/>
    <w:p>
      <w:pPr>
        <w:pStyle w:val="Heading1"/>
      </w:pPr>
      <w:r>
        <w:t xml:space="preserve">The Substrate Premise</w:t>
      </w:r>
    </w:p>
    <w:p>
      <w:pPr>
        <w:pStyle w:val="FirstParagraph"/>
      </w:pPr>
      <w:r>
        <w:t xml:space="preserve">The load-bearing idea of this volume is a separation the earlier volumes imply but never state outright:</w:t>
      </w:r>
    </w:p>
    <w:p>
      <w:pPr>
        <w:pStyle w:val="BlockText"/>
      </w:pPr>
      <w:r>
        <w:rPr>
          <w:b/>
          <w:bCs/>
        </w:rPr>
        <w:t xml:space="preserve">The compliance regime is not the engine.</w:t>
      </w:r>
      <w:r>
        <w:t xml:space="preserve"> </w:t>
      </w:r>
      <w:r>
        <w:t xml:space="preserve">Federal compliance — the NIST SP 800-53 Rev 5 baseline, the FedRAMP 20x Key Security Indicators, the authorization-package machinery — is</w:t>
      </w:r>
      <w:r>
        <w:t xml:space="preserve"> </w:t>
      </w:r>
      <w:r>
        <w:rPr>
          <w:i/>
          <w:iCs/>
        </w:rPr>
        <w:t xml:space="preserve">one vertical</w:t>
      </w:r>
      <w:r>
        <w:t xml:space="preserve"> </w:t>
      </w:r>
      <w:r>
        <w:t xml:space="preserve">layered on a governance substrate that makes no assumption about compliance regime, sector, or jurisdiction. The substrate governs identity, addressing, telemetry, policy, and enforcement as functions. A regime is a crosswalk laid over those functions.</w:t>
      </w:r>
    </w:p>
    <w:p>
      <w:pPr>
        <w:pStyle w:val="FirstParagraph"/>
      </w:pPr>
      <w:r>
        <w:t xml:space="preserve">That separation is what lets this series be honest about its own scope. The architecture volumes argue from control text, physics, and protocol behavior — claims that are true regardless of which engine scores them. The substrate is what turns those claims into continuously-checked evidence. Neither depends on the other’s identity: the series would still be correct if scored by a different engine, and the substrate would still function if it were carrying a different regime’s content entirely.</w:t>
      </w:r>
    </w:p>
    <w:p>
      <w:pPr>
        <w:pStyle w:val="BodyText"/>
      </w:pPr>
      <w:r>
        <w:rPr>
          <w:b/>
          <w:bCs/>
        </w:rPr>
        <w:t xml:space="preserve">Why this matters to an assessor.</w:t>
      </w:r>
      <w:r>
        <w:t xml:space="preserve"> </w:t>
      </w:r>
      <w:r>
        <w:t xml:space="preserve">A reviewer who sees the series and the substrate as one product is right to be skeptical — coupling architecture to a single engine is the advocacy smell the series works to avoid. Seeing them as</w:t>
      </w:r>
      <w:r>
        <w:t xml:space="preserve"> </w:t>
      </w:r>
      <w:r>
        <w:rPr>
          <w:i/>
          <w:iCs/>
        </w:rPr>
        <w:t xml:space="preserve">two layers</w:t>
      </w:r>
      <w:r>
        <w:t xml:space="preserve"> </w:t>
      </w:r>
      <w:r>
        <w:t xml:space="preserve">is what makes the evidence credible: the architecture stands on its own reasoning, and the substrate is a general instrument that would score any regime’s closures the same way.</w:t>
      </w:r>
    </w:p>
    <w:bookmarkEnd w:id="11"/>
    <w:bookmarkStart w:id="12" w:name="the-surface-slot-binding"/>
    <w:p>
      <w:pPr>
        <w:pStyle w:val="Heading1"/>
      </w:pPr>
      <w:r>
        <w:t xml:space="preserve">The Surface-Slot Binding</w:t>
      </w:r>
    </w:p>
    <w:p>
      <w:pPr>
        <w:pStyle w:val="FirstParagraph"/>
      </w:pPr>
      <w:r>
        <w:t xml:space="preserve">The substrate exposes a small, fixed set of</w:t>
      </w:r>
      <w:r>
        <w:t xml:space="preserve"> </w:t>
      </w:r>
      <w:r>
        <w:rPr>
          <w:b/>
          <w:bCs/>
        </w:rPr>
        <w:t xml:space="preserve">control-plane surface slots</w:t>
      </w:r>
      <w:r>
        <w:t xml:space="preserve"> </w:t>
      </w:r>
      <w:r>
        <w:t xml:space="preserve">— regime-agnostic anchors, each a place where evidence of a particular kind lands. The conformance layer maps this series’ artifacts onto those slots. A federal reviewer reads each slot through the NIST baseline and the FedRAMP 20x Key Security Indicator that scores it; the slot itself knows nothing about</w:t>
      </w:r>
      <w:r>
        <w:t xml:space="preserve"> </w:t>
      </w:r>
      <w:r>
        <w:t xml:space="preserve">“federal.”</w:t>
      </w:r>
    </w:p>
    <w:p>
      <w:pPr>
        <w:pStyle w:val="BodyText"/>
      </w:pPr>
      <w:r>
        <w:t xml:space="preserve">The seven surface slots and where this series binds to each:</w:t>
      </w:r>
    </w:p>
    <w:p>
      <w:pPr>
        <w:pStyle w:val="TableCaption"/>
      </w:pPr>
      <w:r>
        <w:t xml:space="preserve">The series’ evidence, mapped to the substrate’s seven surface slots</w:t>
      </w:r>
    </w:p>
    <w:tbl>
      <w:tblPr>
        <w:tblStyle w:val="Table"/>
        <w:tblW w:type="pct" w:w="5000"/>
        <w:tblLayout w:type="fixed"/>
        <w:tblLook w:firstRow="1" w:lastRow="0" w:firstColumn="0" w:lastColumn="0" w:noHBand="0" w:noVBand="0" w:val="0020"/>
        <w:tblCaption w:val="The series’ evidence, mapped to the substrate’s seven surface slots"/>
      </w:tblPr>
      <w:tblGrid>
        <w:gridCol w:w="1980"/>
        <w:gridCol w:w="1980"/>
        <w:gridCol w:w="1980"/>
        <w:gridCol w:w="1980"/>
      </w:tblGrid>
      <w:tr>
        <w:trPr>
          <w:tblHeader w:val="on"/>
        </w:trPr>
        <w:tc>
          <w:tcPr/>
          <w:p>
            <w:pPr>
              <w:pStyle w:val="Compact"/>
            </w:pPr>
            <w:r>
              <w:t xml:space="preserve">Surface slot</w:t>
            </w:r>
          </w:p>
        </w:tc>
        <w:tc>
          <w:tcPr/>
          <w:p>
            <w:pPr>
              <w:pStyle w:val="Compact"/>
            </w:pPr>
            <w:r>
              <w:t xml:space="preserve">Series content that binds here</w:t>
            </w:r>
          </w:p>
        </w:tc>
        <w:tc>
          <w:tcPr/>
          <w:p>
            <w:pPr>
              <w:pStyle w:val="Compact"/>
            </w:pPr>
            <w:r>
              <w:t xml:space="preserve">NIST anchor (Rev 5)</w:t>
            </w:r>
          </w:p>
        </w:tc>
        <w:tc>
          <w:tcPr/>
          <w:p>
            <w:pPr>
              <w:pStyle w:val="Compact"/>
            </w:pPr>
            <w:r>
              <w:t xml:space="preserve">FedRAMP 20x KSI theme</w:t>
            </w:r>
          </w:p>
        </w:tc>
      </w:tr>
      <w:tr>
        <w:tc>
          <w:tcPr/>
          <w:p>
            <w:pPr>
              <w:pStyle w:val="Compact"/>
            </w:pPr>
            <w:r>
              <w:t xml:space="preserve">Identity</w:t>
            </w:r>
          </w:p>
        </w:tc>
        <w:tc>
          <w:tcPr/>
          <w:p>
            <w:pPr>
              <w:pStyle w:val="Compact"/>
            </w:pPr>
            <w:r>
              <w:t xml:space="preserve">Certificates &amp; tokens, HRIT identity, privileged access</w:t>
            </w:r>
          </w:p>
        </w:tc>
        <w:tc>
          <w:tcPr/>
          <w:p>
            <w:pPr>
              <w:pStyle w:val="Compact"/>
            </w:pPr>
            <w:r>
              <w:t xml:space="preserve">IA-2 / AC-2</w:t>
            </w:r>
          </w:p>
        </w:tc>
        <w:tc>
          <w:tcPr/>
          <w:p>
            <w:pPr>
              <w:pStyle w:val="Compact"/>
            </w:pPr>
            <w:r>
              <w:t xml:space="preserve">KSI-IAM</w:t>
            </w:r>
          </w:p>
        </w:tc>
      </w:tr>
      <w:tr>
        <w:tc>
          <w:tcPr/>
          <w:p>
            <w:pPr>
              <w:pStyle w:val="Compact"/>
            </w:pPr>
            <w:r>
              <w:t xml:space="preserve">Addressing</w:t>
            </w:r>
          </w:p>
        </w:tc>
        <w:tc>
          <w:tcPr/>
          <w:p>
            <w:pPr>
              <w:pStyle w:val="Compact"/>
            </w:pPr>
            <w:r>
              <w:t xml:space="preserve">Landing zone, IPAM/DDI naming plane</w:t>
            </w:r>
          </w:p>
        </w:tc>
        <w:tc>
          <w:tcPr/>
          <w:p>
            <w:pPr>
              <w:pStyle w:val="Compact"/>
            </w:pPr>
            <w:r>
              <w:t xml:space="preserve">CM-8 / AC-4</w:t>
            </w:r>
          </w:p>
        </w:tc>
        <w:tc>
          <w:tcPr/>
          <w:p>
            <w:pPr>
              <w:pStyle w:val="Compact"/>
            </w:pPr>
            <w:r>
              <w:t xml:space="preserve">KSI-PIY / KSI-CNA</w:t>
            </w:r>
          </w:p>
        </w:tc>
      </w:tr>
      <w:tr>
        <w:tc>
          <w:tcPr/>
          <w:p>
            <w:pPr>
              <w:pStyle w:val="Compact"/>
            </w:pPr>
            <w:r>
              <w:t xml:space="preserve">Network</w:t>
            </w:r>
          </w:p>
        </w:tc>
        <w:tc>
          <w:tcPr/>
          <w:p>
            <w:pPr>
              <w:pStyle w:val="Compact"/>
            </w:pPr>
            <w:r>
              <w:t xml:space="preserve">Network access control, telecommunications modernization</w:t>
            </w:r>
          </w:p>
        </w:tc>
        <w:tc>
          <w:tcPr/>
          <w:p>
            <w:pPr>
              <w:pStyle w:val="Compact"/>
            </w:pPr>
            <w:r>
              <w:t xml:space="preserve">SC-8 / CA-7</w:t>
            </w:r>
          </w:p>
        </w:tc>
        <w:tc>
          <w:tcPr/>
          <w:p>
            <w:pPr>
              <w:pStyle w:val="Compact"/>
            </w:pPr>
            <w:r>
              <w:t xml:space="preserve">KSI-CNA</w:t>
            </w:r>
          </w:p>
        </w:tc>
      </w:tr>
      <w:tr>
        <w:tc>
          <w:tcPr/>
          <w:p>
            <w:pPr>
              <w:pStyle w:val="Compact"/>
            </w:pPr>
            <w:r>
              <w:t xml:space="preserve">Telemetry</w:t>
            </w:r>
          </w:p>
        </w:tc>
        <w:tc>
          <w:tcPr/>
          <w:p>
            <w:pPr>
              <w:pStyle w:val="Compact"/>
            </w:pPr>
            <w:r>
              <w:t xml:space="preserve">Detection, evidence fabric, continuous monitoring</w:t>
            </w:r>
          </w:p>
        </w:tc>
        <w:tc>
          <w:tcPr/>
          <w:p>
            <w:pPr>
              <w:pStyle w:val="Compact"/>
            </w:pPr>
            <w:r>
              <w:t xml:space="preserve">CA-7 / SI-4</w:t>
            </w:r>
          </w:p>
        </w:tc>
        <w:tc>
          <w:tcPr/>
          <w:p>
            <w:pPr>
              <w:pStyle w:val="Compact"/>
            </w:pPr>
            <w:r>
              <w:t xml:space="preserve">KSI-MLA</w:t>
            </w:r>
          </w:p>
        </w:tc>
      </w:tr>
      <w:tr>
        <w:tc>
          <w:tcPr/>
          <w:p>
            <w:pPr>
              <w:pStyle w:val="Compact"/>
            </w:pPr>
            <w:r>
              <w:t xml:space="preserve">Endpoint</w:t>
            </w:r>
          </w:p>
        </w:tc>
        <w:tc>
          <w:tcPr/>
          <w:p>
            <w:pPr>
              <w:pStyle w:val="Compact"/>
            </w:pPr>
            <w:r>
              <w:t xml:space="preserve">Endpoint posture, patch &amp; systems management</w:t>
            </w:r>
          </w:p>
        </w:tc>
        <w:tc>
          <w:tcPr/>
          <w:p>
            <w:pPr>
              <w:pStyle w:val="Compact"/>
            </w:pPr>
            <w:r>
              <w:t xml:space="preserve">CM-8 / IA-3</w:t>
            </w:r>
          </w:p>
        </w:tc>
        <w:tc>
          <w:tcPr/>
          <w:p>
            <w:pPr>
              <w:pStyle w:val="Compact"/>
            </w:pPr>
            <w:r>
              <w:t xml:space="preserve">KSI-PIY</w:t>
            </w:r>
          </w:p>
        </w:tc>
      </w:tr>
      <w:tr>
        <w:tc>
          <w:tcPr/>
          <w:p>
            <w:pPr>
              <w:pStyle w:val="Compact"/>
            </w:pPr>
            <w:r>
              <w:t xml:space="preserve">Security</w:t>
            </w:r>
          </w:p>
        </w:tc>
        <w:tc>
          <w:tcPr/>
          <w:p>
            <w:pPr>
              <w:pStyle w:val="Compact"/>
            </w:pPr>
            <w:r>
              <w:t xml:space="preserve">Data protection, change management, supply chain</w:t>
            </w:r>
          </w:p>
        </w:tc>
        <w:tc>
          <w:tcPr/>
          <w:p>
            <w:pPr>
              <w:pStyle w:val="Compact"/>
            </w:pPr>
            <w:r>
              <w:t xml:space="preserve">CM-2 / AC-4</w:t>
            </w:r>
          </w:p>
        </w:tc>
        <w:tc>
          <w:tcPr/>
          <w:p>
            <w:pPr>
              <w:pStyle w:val="Compact"/>
            </w:pPr>
            <w:r>
              <w:t xml:space="preserve">KSI-CMT / KSI-SCR</w:t>
            </w:r>
          </w:p>
        </w:tc>
      </w:tr>
      <w:tr>
        <w:tc>
          <w:tcPr/>
          <w:p>
            <w:pPr>
              <w:pStyle w:val="Compact"/>
            </w:pPr>
            <w:r>
              <w:t xml:space="preserve">Continuity</w:t>
            </w:r>
          </w:p>
        </w:tc>
        <w:tc>
          <w:tcPr/>
          <w:p>
            <w:pPr>
              <w:pStyle w:val="Compact"/>
            </w:pPr>
            <w:r>
              <w:t xml:space="preserve">Business continuity, recovery, day-2 operations</w:t>
            </w:r>
          </w:p>
        </w:tc>
        <w:tc>
          <w:tcPr/>
          <w:p>
            <w:pPr>
              <w:pStyle w:val="Compact"/>
            </w:pPr>
            <w:r>
              <w:t xml:space="preserve">CP-9 / CP-10</w:t>
            </w:r>
          </w:p>
        </w:tc>
        <w:tc>
          <w:tcPr/>
          <w:p>
            <w:pPr>
              <w:pStyle w:val="Compact"/>
            </w:pPr>
            <w:r>
              <w:t xml:space="preserve">KSI-RPL / KSI-CED</w:t>
            </w:r>
          </w:p>
        </w:tc>
      </w:tr>
    </w:tbl>
    <w:p>
      <w:pPr>
        <w:pStyle w:val="BodyText"/>
      </w:pPr>
      <w:r>
        <w:t xml:space="preserve">The binding is not prose. It is a set of machine-readable evidence-binding files — one per slot — that name, for each slot, the series artifacts that feed it, the controls those artifacts close, and the Key Security Indicators the closures satisfy. The conformance layer reads those files and produces a single evidence-bindings artifact the authorization package consumes. Nothing here re-derives a control closure; the binding only</w:t>
      </w:r>
      <w:r>
        <w:t xml:space="preserve"> </w:t>
      </w:r>
      <w:r>
        <w:rPr>
          <w:i/>
          <w:iCs/>
        </w:rPr>
        <w:t xml:space="preserve">routes</w:t>
      </w:r>
      <w:r>
        <w:t xml:space="preserve"> </w:t>
      </w:r>
      <w:r>
        <w:t xml:space="preserve">closures the architecture volumes already argued to the slot that scores them.</w:t>
      </w:r>
    </w:p>
    <w:p>
      <w:pPr>
        <w:pStyle w:val="BodyText"/>
      </w:pPr>
      <w:r>
        <w:rPr>
          <w:b/>
          <w:bCs/>
        </w:rPr>
        <w:t xml:space="preserve">Slots are functions, not products.</w:t>
      </w:r>
      <w:r>
        <w:t xml:space="preserve"> </w:t>
      </w:r>
      <w:r>
        <w:t xml:space="preserve">“Identity”</w:t>
      </w:r>
      <w:r>
        <w:t xml:space="preserve"> </w:t>
      </w:r>
      <w:r>
        <w:t xml:space="preserve">is not an identity product; it is the plane where authentication, credential-lifecycle, and least-privilege evidence lands. The series’ Identity-slot content (organizational-user authentication under IA-2, account management under AC-2, device identity under IA-3) would satisfy the same slot whether the identity provider were one vendor’s or another’s. The slot is the invariant; the product is the substitution.</w:t>
      </w:r>
    </w:p>
    <w:bookmarkEnd w:id="12"/>
    <w:bookmarkStart w:id="13" w:name="the-single-source-of-truth"/>
    <w:p>
      <w:pPr>
        <w:pStyle w:val="Heading1"/>
      </w:pPr>
      <w:r>
        <w:t xml:space="preserve">The Single Source of Truth</w:t>
      </w:r>
    </w:p>
    <w:p>
      <w:pPr>
        <w:pStyle w:val="FirstParagraph"/>
      </w:pPr>
      <w:r>
        <w:t xml:space="preserve">A crosswalk that is hand-typed drifts the moment a book changes. The substrate binding avoids that failure the way the rest of the series avoids it:</w:t>
      </w:r>
      <w:r>
        <w:t xml:space="preserve"> </w:t>
      </w:r>
      <w:r>
        <w:rPr>
          <w:b/>
          <w:bCs/>
        </w:rPr>
        <w:t xml:space="preserve">one source of truth, everything else generated and gated.</w:t>
      </w:r>
    </w:p>
    <w:p>
      <w:pPr>
        <w:pStyle w:val="BodyText"/>
      </w:pPr>
      <w:r>
        <w:t xml:space="preserve">The series’ control closures live in a single compliance spine — one row per control-and-book closure, carrying the closing mechanism, the accreditation gate, the authority drivers, the surface slot, and the Key Security Indicator theme. From that spine, a set of generators renders every derived artifact:</w:t>
      </w:r>
    </w:p>
    <w:p>
      <w:pPr>
        <w:pStyle w:val="Compact"/>
        <w:numPr>
          <w:ilvl w:val="0"/>
          <w:numId w:val="1001"/>
        </w:numPr>
      </w:pPr>
      <w:r>
        <w:t xml:space="preserve">the</w:t>
      </w:r>
      <w:r>
        <w:t xml:space="preserve"> </w:t>
      </w:r>
      <w:r>
        <w:rPr>
          <w:b/>
          <w:bCs/>
        </w:rPr>
        <w:t xml:space="preserve">per-book authorities tables</w:t>
      </w:r>
      <w:r>
        <w:t xml:space="preserve"> </w:t>
      </w:r>
      <w:r>
        <w:t xml:space="preserve">(</w:t>
      </w:r>
      <w:r>
        <w:t xml:space="preserve">“Authorities Closed Here”</w:t>
      </w:r>
      <w:r>
        <w:t xml:space="preserve">), so each book’s control table is emitted from the spine, never hand-maintained;</w:t>
      </w:r>
    </w:p>
    <w:p>
      <w:pPr>
        <w:pStyle w:val="Compact"/>
        <w:numPr>
          <w:ilvl w:val="0"/>
          <w:numId w:val="1001"/>
        </w:numPr>
      </w:pPr>
      <w:r>
        <w:t xml:space="preserve">the</w:t>
      </w:r>
      <w:r>
        <w:t xml:space="preserve"> </w:t>
      </w:r>
      <w:r>
        <w:rPr>
          <w:b/>
          <w:bCs/>
        </w:rPr>
        <w:t xml:space="preserve">series control crosswalk</w:t>
      </w:r>
      <w:r>
        <w:t xml:space="preserve">, the reverse index from a control to the volumes and books that address it;</w:t>
      </w:r>
    </w:p>
    <w:p>
      <w:pPr>
        <w:pStyle w:val="Compact"/>
        <w:numPr>
          <w:ilvl w:val="0"/>
          <w:numId w:val="1001"/>
        </w:numPr>
      </w:pPr>
      <w:r>
        <w:t xml:space="preserve">the</w:t>
      </w:r>
      <w:r>
        <w:t xml:space="preserve"> </w:t>
      </w:r>
      <w:r>
        <w:rPr>
          <w:b/>
          <w:bCs/>
        </w:rPr>
        <w:t xml:space="preserve">claim → evidence → test traceability matrix</w:t>
      </w:r>
      <w:r>
        <w:t xml:space="preserve">, which states, per closure, the evidence slot it lands in, the implementing kit if one exists, and the named falsifying test that would disprove it — and states honestly how many closures carry a test versus are merely asserted.</w:t>
      </w:r>
    </w:p>
    <w:p>
      <w:pPr>
        <w:pStyle w:val="FirstParagraph"/>
      </w:pPr>
      <w:r>
        <w:t xml:space="preserve">Each generator ships with a drift gate: a continuous check that fails when a committed artifact diverges from what the spine now produces. The effect is that the prose cannot silently fall out of step with the source of truth — the same regen-and-diff discipline the series uses for every other derived table.</w:t>
      </w:r>
    </w:p>
    <w:p>
      <w:pPr>
        <w:pStyle w:val="BodyText"/>
      </w:pPr>
      <w:r>
        <w:rPr>
          <w:b/>
          <w:bCs/>
        </w:rPr>
        <w:t xml:space="preserve">Honesty is a first-class output.</w:t>
      </w:r>
      <w:r>
        <w:t xml:space="preserve"> </w:t>
      </w:r>
      <w:r>
        <w:t xml:space="preserve">The traceability matrix does not hide its gaps. It reports the coverage the spine can</w:t>
      </w:r>
      <w:r>
        <w:t xml:space="preserve"> </w:t>
      </w:r>
      <w:r>
        <w:rPr>
          <w:i/>
          <w:iCs/>
        </w:rPr>
        <w:t xml:space="preserve">prove</w:t>
      </w:r>
      <w:r>
        <w:t xml:space="preserve"> </w:t>
      </w:r>
      <w:r>
        <w:t xml:space="preserve">— how many books carry machine-checked closures, how many claims carry a named test — so a reader can see exactly which claims are verified, which are asserted, and which controls are authored outside the spine. Coverage that is not yet proven is labeled as such, not rounded up.</w:t>
      </w:r>
    </w:p>
    <w:p>
      <w:pPr>
        <w:pStyle w:val="BodyText"/>
      </w:pPr>
      <w:r>
        <w:t xml:space="preserve">The interface between this series and whatever engine scores it is written down as an open contract — the Evidence &amp; Authorization Contract: compliance spine in, OSCAL authorization-package artifacts out. The series speaks only to that contract and names no engine; any conformant engine may implement it, and an engine’s own conformance documentation is maintained separately, on the engine side of the arrow. That one-way dependency — the engine names and consumes the series; the series never names the engine — is what keeps the series portable: swap the engine and every book here is untouched.</w:t>
      </w:r>
    </w:p>
    <w:bookmarkEnd w:id="13"/>
    <w:bookmarkStart w:id="14" w:name="vertical-agnosticism-made-concrete"/>
    <w:p>
      <w:pPr>
        <w:pStyle w:val="Heading1"/>
      </w:pPr>
      <w:r>
        <w:t xml:space="preserve">Vertical-Agnosticism, Made Concrete</w:t>
      </w:r>
    </w:p>
    <w:p>
      <w:pPr>
        <w:pStyle w:val="FirstParagraph"/>
      </w:pPr>
      <w:r>
        <w:t xml:space="preserve">The substrate premise would be an empty claim if federal were the only regime it ever carried. It is not. The same seven surface slots that carry this series’ NIST-and-KSI evidence also carry commercial-regulated regimes with no change to the substrate — only a different crosswalk.</w:t>
      </w:r>
    </w:p>
    <w:p>
      <w:pPr>
        <w:pStyle w:val="BodyText"/>
      </w:pPr>
      <w:r>
        <w:t xml:space="preserve">The clearest demonstration is a second conformance pack for the SOC 2 Type II Trust Services Criteria. It binds the</w:t>
      </w:r>
      <w:r>
        <w:t xml:space="preserve"> </w:t>
      </w:r>
      <w:r>
        <w:rPr>
          <w:i/>
          <w:iCs/>
        </w:rPr>
        <w:t xml:space="preserve">same</w:t>
      </w:r>
      <w:r>
        <w:t xml:space="preserve"> </w:t>
      </w:r>
      <w:r>
        <w:t xml:space="preserve">slots this series binds:</w:t>
      </w:r>
    </w:p>
    <w:p>
      <w:pPr>
        <w:pStyle w:val="Compact"/>
        <w:numPr>
          <w:ilvl w:val="0"/>
          <w:numId w:val="1002"/>
        </w:numPr>
      </w:pPr>
      <w:r>
        <w:rPr>
          <w:b/>
          <w:bCs/>
        </w:rPr>
        <w:t xml:space="preserve">Slot 1 (Identity)</w:t>
      </w:r>
      <w:r>
        <w:t xml:space="preserve"> </w:t>
      </w:r>
      <w:r>
        <w:t xml:space="preserve">— where a federal reviewer reads IA-2 and AC-2, a SOC 2 auditor reads the CC6.1–CC6.3 logical-access criteria over the same sign-in, credential-lifecycle, and least-privilege evidence.</w:t>
      </w:r>
    </w:p>
    <w:p>
      <w:pPr>
        <w:pStyle w:val="Compact"/>
        <w:numPr>
          <w:ilvl w:val="0"/>
          <w:numId w:val="1002"/>
        </w:numPr>
      </w:pPr>
      <w:r>
        <w:rPr>
          <w:b/>
          <w:bCs/>
        </w:rPr>
        <w:t xml:space="preserve">Slot 4 (Telemetry)</w:t>
      </w:r>
      <w:r>
        <w:t xml:space="preserve"> </w:t>
      </w:r>
      <w:r>
        <w:t xml:space="preserve">— the same correlation-and-drift evidence a federal reviewer maps to CA-7 and SI-4, a SOC 2 auditor reads as CC7.1–CC7.3 (detect configuration change, monitor anomalies, evaluate events).</w:t>
      </w:r>
    </w:p>
    <w:p>
      <w:pPr>
        <w:pStyle w:val="Compact"/>
        <w:numPr>
          <w:ilvl w:val="0"/>
          <w:numId w:val="1002"/>
        </w:numPr>
      </w:pPr>
      <w:r>
        <w:rPr>
          <w:b/>
          <w:bCs/>
        </w:rPr>
        <w:t xml:space="preserve">Slot 6 (Security)</w:t>
      </w:r>
      <w:r>
        <w:t xml:space="preserve"> </w:t>
      </w:r>
      <w:r>
        <w:t xml:space="preserve">— the same change-controlled deployment a federal reviewer maps to CM-2 and change management, a SOC 2 auditor reads as CC8.1.</w:t>
      </w:r>
    </w:p>
    <w:p>
      <w:pPr>
        <w:pStyle w:val="FirstParagraph"/>
      </w:pPr>
      <w:r>
        <w:t xml:space="preserve">The substrate supplies the evidence; the vertical adapter supplies the crosswalk. That is the whole point of a general-purpose governance engine: federal compliance is the most mature and most-adopted vertical on it, but it is a vertical — an adapter pack — not the core.</w:t>
      </w:r>
    </w:p>
    <w:p>
      <w:pPr>
        <w:pStyle w:val="BodyText"/>
      </w:pPr>
      <w:r>
        <w:rPr>
          <w:b/>
          <w:bCs/>
        </w:rPr>
        <w:t xml:space="preserve">What this does</w:t>
      </w:r>
      <w:r>
        <w:rPr>
          <w:b/>
          <w:bCs/>
        </w:rPr>
        <w:t xml:space="preserve"> </w:t>
      </w:r>
      <w:r>
        <w:rPr>
          <w:b/>
          <w:bCs/>
          <w:i/>
          <w:iCs/>
        </w:rPr>
        <w:t xml:space="preserve">not</w:t>
      </w:r>
      <w:r>
        <w:rPr>
          <w:b/>
          <w:bCs/>
        </w:rPr>
        <w:t xml:space="preserve"> </w:t>
      </w:r>
      <w:r>
        <w:rPr>
          <w:b/>
          <w:bCs/>
        </w:rPr>
        <w:t xml:space="preserve">claim.</w:t>
      </w:r>
      <w:r>
        <w:t xml:space="preserve"> </w:t>
      </w:r>
      <w:r>
        <w:t xml:space="preserve">A shared substrate does not make a SOC 2 attestation and a FedRAMP authorization interchangeable. The boundary, the assessor’s determination, and the regime’s own rules govern what a closure means. The claim is narrower and exact: the</w:t>
      </w:r>
      <w:r>
        <w:t xml:space="preserve"> </w:t>
      </w:r>
      <w:r>
        <w:rPr>
          <w:i/>
          <w:iCs/>
        </w:rPr>
        <w:t xml:space="preserve">substrate evidence</w:t>
      </w:r>
      <w:r>
        <w:t xml:space="preserve"> </w:t>
      </w:r>
      <w:r>
        <w:t xml:space="preserve">is regime-agnostic, and a vertical adapter is what reads it as one regime’s criteria. Two regimes reading the same slot is not two regimes satisfying each other.</w:t>
      </w:r>
    </w:p>
    <w:bookmarkEnd w:id="14"/>
    <w:bookmarkStart w:id="15" w:name="what-this-means-for-the-reader"/>
    <w:p>
      <w:pPr>
        <w:pStyle w:val="Heading1"/>
      </w:pPr>
      <w:r>
        <w:t xml:space="preserve">What This Means for the Reader</w:t>
      </w:r>
    </w:p>
    <w:p>
      <w:pPr>
        <w:pStyle w:val="FirstParagraph"/>
      </w:pPr>
      <w:r>
        <w:t xml:space="preserve">For the</w:t>
      </w:r>
      <w:r>
        <w:t xml:space="preserve"> </w:t>
      </w:r>
      <w:r>
        <w:rPr>
          <w:b/>
          <w:bCs/>
        </w:rPr>
        <w:t xml:space="preserve">architect</w:t>
      </w:r>
      <w:r>
        <w:t xml:space="preserve">, this volume is the reassurance that the series’ reasoning is not hostage to a product: the closures stand on control text and physics, and the substrate is a general instrument that scores them.</w:t>
      </w:r>
    </w:p>
    <w:p>
      <w:pPr>
        <w:pStyle w:val="BodyText"/>
      </w:pPr>
      <w:r>
        <w:t xml:space="preserve">For the</w:t>
      </w:r>
      <w:r>
        <w:t xml:space="preserve"> </w:t>
      </w:r>
      <w:r>
        <w:rPr>
          <w:b/>
          <w:bCs/>
        </w:rPr>
        <w:t xml:space="preserve">assessor</w:t>
      </w:r>
      <w:r>
        <w:t xml:space="preserve">, it is the map from a control-closure claim to the machine-checked evidence that backs it — the spine row, the surface slot, the Key Security Indicator, and the falsifying test — plus an honest statement of how much of that chain is proven today versus asserted.</w:t>
      </w:r>
    </w:p>
    <w:p>
      <w:pPr>
        <w:pStyle w:val="BodyText"/>
      </w:pPr>
      <w:r>
        <w:t xml:space="preserve">For the</w:t>
      </w:r>
      <w:r>
        <w:t xml:space="preserve"> </w:t>
      </w:r>
      <w:r>
        <w:rPr>
          <w:b/>
          <w:bCs/>
        </w:rPr>
        <w:t xml:space="preserve">program</w:t>
      </w:r>
      <w:r>
        <w:t xml:space="preserve">, it is the positioning that keeps the offering credible to a commercial prospect as readily as a federal one: the engine is universal, this series is its federal vertical, and adding a regime is adding a crosswalk, not rebuilding the engine.</w:t>
      </w:r>
    </w:p>
    <w:bookmarkEnd w:id="15"/>
    <w:bookmarkStart w:id="16" w:name="volume-roadmap"/>
    <w:p>
      <w:pPr>
        <w:pStyle w:val="Heading1"/>
      </w:pPr>
      <w:r>
        <w:t xml:space="preserve">Volume Roadmap</w:t>
      </w:r>
    </w:p>
    <w:p>
      <w:pPr>
        <w:pStyle w:val="FirstParagraph"/>
      </w:pPr>
      <w:r>
        <w:t xml:space="preserve">This overview is the whole of Volume X at present: a single integration document that ties the series to the substrate that scores it. It is deliberately engine-neutral and deliberately narrow — it routes and explains; it closes no new controls of its own and therefore carries no</w:t>
      </w:r>
      <w:r>
        <w:t xml:space="preserve"> </w:t>
      </w:r>
      <w:r>
        <w:t xml:space="preserve">“Authorities Closed Here”</w:t>
      </w:r>
      <w:r>
        <w:t xml:space="preserve"> </w:t>
      </w:r>
      <w:r>
        <w:t xml:space="preserve">table. Future books in this volume, if the program adds them, would deepen a single topic — the evidence-bindings file format, the drift-gate mechanics, or a second worked vertical — without changing the premise this book establishes:</w:t>
      </w:r>
      <w:r>
        <w:t xml:space="preserve"> </w:t>
      </w:r>
      <w:r>
        <w:rPr>
          <w:b/>
          <w:bCs/>
        </w:rPr>
        <w:t xml:space="preserve">the compliance regime is content; the governance substrate is the engine; and this series is one vertical among the many that engine can carry.</w:t>
      </w:r>
    </w:p>
    <w:bookmarkEnd w:id="16"/>
    <w:bookmarkStart w:id="17" w:name="X746115351780073d4a3f6ff7ef3b92f3a520410"/>
    <w:p>
      <w:pPr>
        <w:pStyle w:val="Heading1"/>
      </w:pPr>
      <w:r>
        <w:t xml:space="preserve">Separable Adoption — Together or Entirely Independently</w:t>
      </w:r>
    </w:p>
    <w:p>
      <w:pPr>
        <w:pStyle w:val="FirstParagraph"/>
      </w:pPr>
      <w:r>
        <w:t xml:space="preserve">The binding this volume documents is an offer, not an obligation. Three</w:t>
      </w:r>
      <w:r>
        <w:t xml:space="preserve"> </w:t>
      </w:r>
      <w:r>
        <w:t xml:space="preserve">adoption facts govern it:</w:t>
      </w:r>
    </w:p>
    <w:p>
      <w:pPr>
        <w:pStyle w:val="Compact"/>
        <w:numPr>
          <w:ilvl w:val="0"/>
          <w:numId w:val="1003"/>
        </w:numPr>
      </w:pPr>
      <w:r>
        <w:rPr>
          <w:b/>
          <w:bCs/>
        </w:rPr>
        <w:t xml:space="preserve">The series stands alone.</w:t>
      </w:r>
      <w:r>
        <w:t xml:space="preserve"> </w:t>
      </w:r>
      <w:r>
        <w:t xml:space="preserve">Volumes 0–IX close their controls and produce</w:t>
      </w:r>
      <w:r>
        <w:t xml:space="preserve"> </w:t>
      </w:r>
      <w:r>
        <w:t xml:space="preserve">their evidence at FedRAMP Moderate with no substrate engagement at all. An</w:t>
      </w:r>
      <w:r>
        <w:t xml:space="preserve"> </w:t>
      </w:r>
      <w:r>
        <w:t xml:space="preserve">agency can adopt the series, reach authorization, and never touch the</w:t>
      </w:r>
      <w:r>
        <w:t xml:space="preserve"> </w:t>
      </w:r>
      <w:r>
        <w:t xml:space="preserve">conformance layer.</w:t>
      </w:r>
    </w:p>
    <w:p>
      <w:pPr>
        <w:pStyle w:val="Compact"/>
        <w:numPr>
          <w:ilvl w:val="0"/>
          <w:numId w:val="1003"/>
        </w:numPr>
      </w:pPr>
      <w:r>
        <w:rPr>
          <w:b/>
          <w:bCs/>
        </w:rPr>
        <w:t xml:space="preserve">The substrate binding is additive and late-bindable.</w:t>
      </w:r>
      <w:r>
        <w:t xml:space="preserve"> </w:t>
      </w:r>
      <w:r>
        <w:t xml:space="preserve">Adopting the</w:t>
      </w:r>
      <w:r>
        <w:t xml:space="preserve"> </w:t>
      </w:r>
      <w:r>
        <w:t xml:space="preserve">substrate adds machine-checked scoring, drift-gating, and the evidence</w:t>
      </w:r>
      <w:r>
        <w:t xml:space="preserve"> </w:t>
      </w:r>
      <w:r>
        <w:t xml:space="preserve">contract on top of closures that already exist. Nothing in Volumes 0–IX</w:t>
      </w:r>
      <w:r>
        <w:t xml:space="preserve"> </w:t>
      </w:r>
      <w:r>
        <w:t xml:space="preserve">has to be reworked to bind later — the conformance layer maps existing</w:t>
      </w:r>
      <w:r>
        <w:t xml:space="preserve"> </w:t>
      </w:r>
      <w:r>
        <w:t xml:space="preserve">artifacts to surface slots; it does not reshape them.</w:t>
      </w:r>
    </w:p>
    <w:p>
      <w:pPr>
        <w:pStyle w:val="Compact"/>
        <w:numPr>
          <w:ilvl w:val="0"/>
          <w:numId w:val="1003"/>
        </w:numPr>
      </w:pPr>
      <w:r>
        <w:rPr>
          <w:b/>
          <w:bCs/>
        </w:rPr>
        <w:t xml:space="preserve">Compliance and OrgMod implement together or entirely independently.</w:t>
      </w:r>
      <w:r>
        <w:t xml:space="preserve"> </w:t>
      </w:r>
      <w:r>
        <w:t xml:space="preserve">This</w:t>
      </w:r>
      <w:r>
        <w:t xml:space="preserve"> </w:t>
      </w:r>
      <w:r>
        <w:t xml:space="preserve">series —</w:t>
      </w:r>
      <w:r>
        <w:t xml:space="preserve"> </w:t>
      </w:r>
      <w:r>
        <w:rPr>
          <w:b/>
          <w:bCs/>
        </w:rPr>
        <w:t xml:space="preserve">Compliance</w:t>
      </w:r>
      <w:r>
        <w:t xml:space="preserve">, Federal Compliance — is one of two</w:t>
      </w:r>
      <w:r>
        <w:t xml:space="preserve"> </w:t>
      </w:r>
      <w:r>
        <w:t xml:space="preserve">operational expressions of one governance substrate, alongside</w:t>
      </w:r>
      <w:r>
        <w:t xml:space="preserve"> </w:t>
      </w:r>
      <w:r>
        <w:rPr>
          <w:b/>
          <w:bCs/>
        </w:rPr>
        <w:t xml:space="preserve">OrgMod</w:t>
      </w:r>
      <w:r>
        <w:t xml:space="preserve"> </w:t>
      </w:r>
      <w:r>
        <w:t xml:space="preserve">(modernization). The two share a substrate by</w:t>
      </w:r>
      <w:r>
        <w:t xml:space="preserve"> </w:t>
      </w:r>
      <w:r>
        <w:t xml:space="preserve">design, and each is adoptable on its own, in any order, with neither</w:t>
      </w:r>
      <w:r>
        <w:t xml:space="preserve"> </w:t>
      </w:r>
      <w:r>
        <w:t xml:space="preserve">a prerequisite for the other. An agency may run Compliance alone, OrgMod</w:t>
      </w:r>
      <w:r>
        <w:t xml:space="preserve"> </w:t>
      </w:r>
      <w:r>
        <w:t xml:space="preserve">alone, or both — the evidence and authorization contract is</w:t>
      </w:r>
      <w:r>
        <w:t xml:space="preserve"> </w:t>
      </w:r>
      <w:r>
        <w:t xml:space="preserve">the seam that lets any conformant engine satisfy whichever expressions are</w:t>
      </w:r>
      <w:r>
        <w:t xml:space="preserve"> </w:t>
      </w:r>
      <w:r>
        <w:t xml:space="preserve">adopted.</w:t>
      </w:r>
    </w:p>
    <w:bookmarkEnd w:id="1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pPr>
      <w:keepLines/>
    </w:p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tblPr>
      <w:tblInd w:type="dxa" w:w="0"/>
      <w:tblBorders>
        <w:top w:color="0078D4" w:space="0" w:sz="12" w:val="single"/>
        <w:bottom w:color="0078D4" w:space="0" w:sz="12" w:val="single"/>
        <w:left w:val="nil"/>
        <w:right w:val="nil"/>
        <w:insideH w:color="D1D5DA" w:space="0" w:sz="4" w:val="single"/>
        <w:insideV w:val="nil"/>
      </w:tblBorders>
      <w:tblCellMar>
        <w:top w:type="dxa" w:w="80"/>
        <w:left w:type="dxa" w:w="108"/>
        <w:bottom w:type="dxa" w:w="80"/>
        <w:right w:type="dxa" w:w="108"/>
      </w:tblCellMar>
    </w:tblPr>
    <w:tblStylePr w:type="firstRow">
      <w:rPr>
        <w:b/>
      </w:rPr>
      <w:tcPr>
        <w:tcBorders>
          <w:bottom w:color="0078D4" w:space="0" w:sz="8"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SourceCode" w:type="paragraph">
    <w:name w:val="Source Code"/>
    <w:basedOn w:val="Normal"/>
    <w:link w:val="VerbatimChar"/>
    <w:pPr>
      <w:pBdr>
        <w:top w:color="D1D5DA" w:space="6" w:sz="6" w:val="single"/>
        <w:left w:color="D1D5DA" w:space="6" w:sz="6" w:val="single"/>
        <w:bottom w:color="D1D5DA" w:space="6" w:sz="6" w:val="single"/>
        <w:right w:color="D1D5DA" w:space="6" w:sz="6" w:val="single"/>
      </w:pBdr>
      <w:shd w:fill="F6F8FA" w:val="clear"/>
      <w:wordWrap w:val="off"/>
      <w:spacing w:after="0" w:before="0" w:line="240" w:lineRule="auto"/>
      <w:ind w:left="144" w:right="144"/>
      <w:contextualSpacing/>
    </w:pPr>
    <w:rPr>
      <w:rFonts w:ascii="Consolas" w:hAnsi="Consolas"/>
      <w:color w:val="24292E"/>
      <w:sz w:val="18"/>
    </w:rPr>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Volume X — Governance-Substrate Integration</dc:title>
  <dc:creator/>
  <cp:keywords/>
  <dcterms:created xsi:type="dcterms:W3CDTF">2026-10-19T10:17:44Z</dcterms:created>
  <dcterms:modified xsi:type="dcterms:W3CDTF">2026-10-19T10:17:44Z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Federal Compliance Series</vt:lpwstr>
  </property>
</Properties>
</file>